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8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90"/>
        <w:gridCol w:w="4350"/>
        <w:gridCol w:w="825"/>
        <w:gridCol w:w="900"/>
        <w:gridCol w:w="1155"/>
        <w:gridCol w:w="1230"/>
        <w:tblGridChange w:id="0">
          <w:tblGrid>
            <w:gridCol w:w="390"/>
            <w:gridCol w:w="4350"/>
            <w:gridCol w:w="825"/>
            <w:gridCol w:w="900"/>
            <w:gridCol w:w="1155"/>
            <w:gridCol w:w="1230"/>
          </w:tblGrid>
        </w:tblGridChange>
      </w:tblGrid>
      <w:tr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highlight w:val="white"/>
                <w:rtl w:val="0"/>
              </w:rPr>
              <w:t xml:space="preserve">Смета по утеплению фасада.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6"/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 адресу: Янтарная 79 корпус 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6"/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6"/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Наименование работы/материала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Ед. 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Цена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Сумма грн.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8db3e2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shd w:fill="8db3e2" w:val="clear"/>
                <w:rtl w:val="0"/>
              </w:rPr>
              <w:t xml:space="preserve">Фасад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Утепление фасадной стены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м.кв.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1190,40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255 936,00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Материал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м.кв.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1190,40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220,00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261 888,00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Уборка прилегающей территории и вывоз мусора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1200,00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1 200,00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Непредвиденные расходы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80 180,00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9cc00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shd w:fill="99cc00" w:val="clear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599 204,00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